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663" w:rsidRPr="00E54BF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4BF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A9B3A4" wp14:editId="435D4091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030663" w:rsidRDefault="007A5345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DB000F"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-2016</w:t>
                            </w:r>
                          </w:p>
                          <w:p w:rsidR="00493195" w:rsidRPr="00746BE5" w:rsidRDefault="00493195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030663" w:rsidRPr="00746BE5" w:rsidRDefault="00643693" w:rsidP="007A5345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Saturday, </w:t>
                            </w:r>
                            <w:r w:rsidR="007A5345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December 17</w:t>
                            </w:r>
                            <w:r w:rsidR="00DB000F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, 2016</w:t>
                            </w:r>
                          </w:p>
                          <w:p w:rsidR="00030663" w:rsidRPr="00746BE5" w:rsidRDefault="00030663" w:rsidP="0064369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030663" w:rsidRPr="00905C8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A9B3A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030663" w:rsidRDefault="007A5345" w:rsidP="0003066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DB000F"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-2016</w:t>
                      </w:r>
                    </w:p>
                    <w:p w:rsidR="00493195" w:rsidRPr="00746BE5" w:rsidRDefault="00493195" w:rsidP="0003066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030663" w:rsidRPr="00746BE5" w:rsidRDefault="00643693" w:rsidP="007A5345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Saturday, </w:t>
                      </w:r>
                      <w:r w:rsidR="007A5345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December 17</w:t>
                      </w:r>
                      <w:r w:rsidR="00DB000F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, 2016</w:t>
                      </w:r>
                    </w:p>
                    <w:p w:rsidR="00030663" w:rsidRPr="00746BE5" w:rsidRDefault="00030663" w:rsidP="0064369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030663" w:rsidRPr="00905C8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0663" w:rsidRPr="00E54BF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4BF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107AD9" w:rsidRDefault="00030663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2D809" wp14:editId="15A6CE8D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2D809"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030663" w:rsidRDefault="00030663" w:rsidP="00030663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EC5AC" wp14:editId="58023824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49348E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030663" w:rsidRPr="0064080D" w:rsidRDefault="000048C5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EC5AC"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49348E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030663" w:rsidRPr="0064080D" w:rsidRDefault="000048C5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SP-612</w:t>
                      </w: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30A30E" wp14:editId="2CEC3218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2D0503" w:rsidP="002D050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Fraud Investigation and Audit</w:t>
                            </w:r>
                          </w:p>
                          <w:p w:rsidR="00637033" w:rsidRDefault="00637033" w:rsidP="002D050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30A30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030663" w:rsidRDefault="002D0503" w:rsidP="002D050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Fraud Investigation and Audit</w:t>
                      </w:r>
                    </w:p>
                    <w:p w:rsidR="00637033" w:rsidRDefault="00637033" w:rsidP="002D050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4A8CAB" wp14:editId="5303870A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  <w:r w:rsidR="004E2D3A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:</w:t>
                            </w:r>
                          </w:p>
                          <w:p w:rsidR="004E2D3A" w:rsidRPr="00C03376" w:rsidRDefault="004E2D3A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610E43" w:rsidRPr="00C03376" w:rsidRDefault="00610E4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030663" w:rsidRPr="00C03376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 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3 hours</w:t>
                            </w:r>
                          </w:p>
                          <w:p w:rsidR="00030663" w:rsidRPr="00905C83" w:rsidRDefault="00030663" w:rsidP="0003066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A8CAB"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  <w:r w:rsidR="004E2D3A">
                        <w:rPr>
                          <w:rFonts w:ascii="Arial" w:hAnsi="Arial" w:cs="Arial"/>
                          <w:b/>
                          <w:sz w:val="18"/>
                        </w:rPr>
                        <w:t>:</w:t>
                      </w:r>
                    </w:p>
                    <w:p w:rsidR="004E2D3A" w:rsidRPr="00C03376" w:rsidRDefault="004E2D3A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15 minutes</w:t>
                      </w:r>
                    </w:p>
                    <w:p w:rsidR="00610E43" w:rsidRPr="00C03376" w:rsidRDefault="00610E4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030663" w:rsidRPr="00C03376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 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>3 hours</w:t>
                      </w:r>
                    </w:p>
                    <w:p w:rsidR="00030663" w:rsidRPr="00905C83" w:rsidRDefault="00030663" w:rsidP="0003066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605B7B" wp14:editId="10A25727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otes:</w:t>
                            </w:r>
                          </w:p>
                          <w:p w:rsidR="00030663" w:rsidRPr="00AD7C52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30663" w:rsidRDefault="007A5345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Attempt any six</w:t>
                            </w:r>
                            <w:r w:rsidR="00030663"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questions.</w:t>
                            </w:r>
                          </w:p>
                          <w:p w:rsidR="007A5345" w:rsidRPr="00AD7C52" w:rsidRDefault="007A5345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All question</w:t>
                            </w:r>
                            <w:r w:rsidR="005A5E4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carry equal marks.</w:t>
                            </w: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Answers are expected to be precise, to the point and well written. </w:t>
                            </w:r>
                          </w:p>
                          <w:p w:rsidR="00030663" w:rsidRPr="00AD7C52" w:rsidRDefault="00030663" w:rsidP="0003066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/>
                                <w:color w:val="000000"/>
                                <w:sz w:val="18"/>
                                <w:szCs w:val="18"/>
                              </w:rPr>
                              <w:t>Neatness and style will be taken into account in marking the papers.</w:t>
                            </w:r>
                          </w:p>
                          <w:p w:rsidR="00030663" w:rsidRPr="00E02467" w:rsidRDefault="00030663" w:rsidP="00030663">
                            <w:pPr>
                              <w:pStyle w:val="ListParagraph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05B7B"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030663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otes:</w:t>
                      </w:r>
                    </w:p>
                    <w:p w:rsidR="00030663" w:rsidRPr="00AD7C52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30663" w:rsidRDefault="007A5345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Attempt any six</w:t>
                      </w:r>
                      <w:r w:rsidR="00030663"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questions.</w:t>
                      </w:r>
                    </w:p>
                    <w:p w:rsidR="007A5345" w:rsidRPr="00AD7C52" w:rsidRDefault="007A5345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All question</w:t>
                      </w:r>
                      <w:r w:rsidR="005A5E46">
                        <w:rPr>
                          <w:rFonts w:ascii="Arial" w:hAnsi="Arial" w:cs="Arial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carry equal marks.</w:t>
                      </w: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Answers are expected to be precise, to the point and well written. </w:t>
                      </w:r>
                    </w:p>
                    <w:p w:rsidR="00030663" w:rsidRPr="00AD7C52" w:rsidRDefault="00030663" w:rsidP="0003066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/>
                          <w:color w:val="000000"/>
                          <w:sz w:val="18"/>
                          <w:szCs w:val="18"/>
                        </w:rPr>
                        <w:t>Neatness and style will be taken into account in marking the papers.</w:t>
                      </w:r>
                    </w:p>
                    <w:p w:rsidR="00030663" w:rsidRPr="00E02467" w:rsidRDefault="00030663" w:rsidP="00030663">
                      <w:pPr>
                        <w:pStyle w:val="ListParagraph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sz w:val="24"/>
          <w:szCs w:val="24"/>
          <w:shd w:val="clear" w:color="auto" w:fill="000000"/>
        </w:rPr>
        <w:br w:type="page"/>
      </w:r>
    </w:p>
    <w:p w:rsidR="00107AD9" w:rsidRDefault="00107AD9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107AD9" w:rsidRPr="000F0F51" w:rsidRDefault="00107AD9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030663" w:rsidRDefault="00B47DDC" w:rsidP="006D271D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</w:t>
      </w:r>
      <w:r w:rsidR="00030663" w:rsidRPr="000F0F51">
        <w:rPr>
          <w:rFonts w:ascii="Book Antiqua" w:hAnsi="Book Antiqua" w:cstheme="majorBidi"/>
          <w:b/>
          <w:bCs/>
          <w:sz w:val="24"/>
          <w:szCs w:val="24"/>
        </w:rPr>
        <w:t xml:space="preserve"> 1:</w:t>
      </w:r>
    </w:p>
    <w:p w:rsidR="001104B3" w:rsidRPr="007A5345" w:rsidRDefault="007A5345" w:rsidP="007A5345">
      <w:pPr>
        <w:autoSpaceDE w:val="0"/>
        <w:autoSpaceDN w:val="0"/>
        <w:adjustRightInd w:val="0"/>
        <w:rPr>
          <w:rFonts w:ascii="Book Antiqua" w:eastAsiaTheme="minorHAnsi" w:hAnsi="Book Antiqua"/>
          <w:sz w:val="24"/>
          <w:szCs w:val="24"/>
          <w:lang w:val="en-GB"/>
        </w:rPr>
      </w:pPr>
      <w:r w:rsidRPr="007A5345">
        <w:rPr>
          <w:rFonts w:ascii="Book Antiqua" w:eastAsiaTheme="minorHAnsi" w:hAnsi="Book Antiqua"/>
          <w:sz w:val="24"/>
          <w:szCs w:val="24"/>
          <w:lang w:val="en-GB"/>
        </w:rPr>
        <w:t>Discuss Special Pr</w:t>
      </w:r>
      <w:r>
        <w:rPr>
          <w:rFonts w:ascii="Book Antiqua" w:eastAsiaTheme="minorHAnsi" w:hAnsi="Book Antiqua"/>
          <w:sz w:val="24"/>
          <w:szCs w:val="24"/>
          <w:lang w:val="en-GB"/>
        </w:rPr>
        <w:t xml:space="preserve">oblems Concerning Some Types of </w:t>
      </w:r>
      <w:r w:rsidRPr="007A5345">
        <w:rPr>
          <w:rFonts w:ascii="Book Antiqua" w:eastAsiaTheme="minorHAnsi" w:hAnsi="Book Antiqua"/>
          <w:sz w:val="24"/>
          <w:szCs w:val="24"/>
          <w:lang w:val="en-GB"/>
        </w:rPr>
        <w:t>Circumstantial Evidence.</w:t>
      </w:r>
    </w:p>
    <w:p w:rsidR="007A5345" w:rsidRDefault="007A5345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637033" w:rsidRPr="00637033" w:rsidRDefault="00637033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637033"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Special rules govern certain types of evidence, which have bee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n found over the years to be so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misleading and prejudicial that they have been categorically ex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cluded. Such evidence is always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excluded unless an exception applies.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 w:cs="Cambria,Bold"/>
          <w:b/>
          <w:bCs/>
          <w:color w:val="4F82BE"/>
          <w:sz w:val="24"/>
          <w:szCs w:val="24"/>
          <w:lang w:val="en-GB"/>
        </w:rPr>
      </w:pPr>
      <w:r w:rsidRPr="00637033">
        <w:rPr>
          <w:rFonts w:ascii="Book Antiqua" w:eastAsiaTheme="minorHAnsi" w:hAnsi="Book Antiqua" w:cs="Cambria,Bold"/>
          <w:b/>
          <w:bCs/>
          <w:color w:val="4F82BE"/>
          <w:sz w:val="24"/>
          <w:szCs w:val="24"/>
          <w:lang w:val="en-GB"/>
        </w:rPr>
        <w:t>Character Evidence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In civil and criminal trials, there is strong policy against charact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er evidence. Character evidence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(sometimes called propensity evidence) is testimony or exhibits tha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t purport to establish a "trait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of character" or propensity to behave in a particular way, s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uch as care flutiness, honesty,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violence, or cowardice. There are some good reasons to leave character 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out of the discussion whenever possible.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First, the subjective nature of the description-one pers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on's "grufP'is another viewer's "aggressive."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Additionally, character is not an absolute indicator of behaviour. 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That is, it is pretty common to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remark how "out of character" somebody's actions were in a given situation. So there is always a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chance someone was acting out of character, making the behav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ioural propensity (if there was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one)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 useless in the legal exchange.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Finally, testimony about character has a reckless potential to be mi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stakenly founded, misled. It is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always possible to "misjudge" someone, especiall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y if we only know the person in limited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circumstances like work or a social club. Moreover, it is exceedin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gly easy to fabricate incidents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about character and, for shrewd talkers, to manipulate perceptions of personality. In a fraud case,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it must be shown that the defendant committed the act in question.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 There is too great a danger of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prejudicing the jury if you allow testimony about the defendant j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ust being a bad person. Whether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he is a bad person or not ought to have no bearing on whether or not 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he committed the act in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question.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 w:cs="Cambria,Bold"/>
          <w:b/>
          <w:bCs/>
          <w:color w:val="4F82BE"/>
          <w:sz w:val="24"/>
          <w:szCs w:val="24"/>
          <w:lang w:val="en-GB"/>
        </w:rPr>
      </w:pPr>
      <w:r w:rsidRPr="00637033">
        <w:rPr>
          <w:rFonts w:ascii="Book Antiqua" w:eastAsiaTheme="minorHAnsi" w:hAnsi="Book Antiqua" w:cs="Cambria,Bold"/>
          <w:b/>
          <w:bCs/>
          <w:color w:val="4F82BE"/>
          <w:sz w:val="24"/>
          <w:szCs w:val="24"/>
          <w:lang w:val="en-GB"/>
        </w:rPr>
        <w:t>Exception to the Character Rule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In civil cases, character evidence is rarely admissible. In criminal 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cases, there are some instances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where character evidence is relevant to the charge at hand. For example, if the mental con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dition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or legal competency of the accused is in question, c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haracter evidence is allowable.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In addition, the courts recognize certain exceptions to the general 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rule that character evidence is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inadmissible in criminal cases. Some of the exceptions for use of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 character evidence in criminal cases include: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The accused may offer evidence of his or her good character, in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 which case the prosecution may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introduce evidence of the accuser‘s pad character .Characte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r evidence may be admissible to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reflect on the credibility of a witness Although evidence of other crimes, wrongs, or acts is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generally not admissible to prove the character of a person; t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here are some uses of character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evidence that may be admissible because they are offered for a purpose other than showing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lastRenderedPageBreak/>
        <w:t>character. Some of the exceptions for use of character evidence in criminal cases may include .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 w:cs="Wingdings"/>
          <w:color w:val="000000"/>
          <w:sz w:val="24"/>
          <w:szCs w:val="24"/>
          <w:lang w:val="en-GB"/>
        </w:rPr>
        <w:t xml:space="preserve">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To show the accuser‘s knowledge, intent, or motive for the crime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 w:cs="Wingdings"/>
          <w:color w:val="000000"/>
          <w:sz w:val="24"/>
          <w:szCs w:val="24"/>
          <w:lang w:val="en-GB"/>
        </w:rPr>
        <w:t xml:space="preserve">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To prove the existence of a larger plan of which the charged crime is apart.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 w:cs="Wingdings"/>
          <w:color w:val="000000"/>
          <w:sz w:val="24"/>
          <w:szCs w:val="24"/>
          <w:lang w:val="en-GB"/>
        </w:rPr>
        <w:t xml:space="preserve"> </w:t>
      </w:r>
      <w:r w:rsidRPr="00637033">
        <w:rPr>
          <w:rFonts w:ascii="Book Antiqua" w:eastAsiaTheme="minorHAnsi" w:hAnsi="Book Antiqua"/>
          <w:i/>
          <w:iCs/>
          <w:color w:val="000000"/>
          <w:sz w:val="24"/>
          <w:szCs w:val="24"/>
          <w:lang w:val="en-GB"/>
        </w:rPr>
        <w:t xml:space="preserve">To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show the accuser‘s preparation to commit the charged crime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 w:cs="Wingdings"/>
          <w:color w:val="000000"/>
          <w:sz w:val="24"/>
          <w:szCs w:val="24"/>
          <w:lang w:val="en-GB"/>
        </w:rPr>
        <w:t xml:space="preserve">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To show the accuser‘s ability and means of committing the crime (possession of a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weapon, tool, or skill used in the commission of the act)</w:t>
      </w:r>
    </w:p>
    <w:p w:rsidR="00637033" w:rsidRPr="00637033" w:rsidRDefault="00637033" w:rsidP="00637033">
      <w:pPr>
        <w:autoSpaceDE w:val="0"/>
        <w:autoSpaceDN w:val="0"/>
        <w:adjustRightInd w:val="0"/>
        <w:rPr>
          <w:rFonts w:ascii="Book Antiqua" w:eastAsiaTheme="minorHAnsi" w:hAnsi="Book Antiqua"/>
          <w:color w:val="000000"/>
          <w:sz w:val="24"/>
          <w:szCs w:val="24"/>
          <w:lang w:val="en-GB"/>
        </w:rPr>
      </w:pPr>
      <w:r w:rsidRPr="00637033">
        <w:rPr>
          <w:rFonts w:ascii="Book Antiqua" w:eastAsiaTheme="minorHAnsi" w:hAnsi="Book Antiqua" w:cs="Wingdings"/>
          <w:color w:val="000000"/>
          <w:sz w:val="24"/>
          <w:szCs w:val="24"/>
          <w:lang w:val="en-GB"/>
        </w:rPr>
        <w:t xml:space="preserve">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To show that the accuser‘s opportunity to commit the crime</w:t>
      </w:r>
      <w:r>
        <w:rPr>
          <w:rFonts w:ascii="Book Antiqua" w:eastAsiaTheme="minorHAnsi" w:hAnsi="Book Antiqua"/>
          <w:color w:val="000000"/>
          <w:sz w:val="24"/>
          <w:szCs w:val="24"/>
          <w:lang w:val="en-GB"/>
        </w:rPr>
        <w:t xml:space="preserve"> .Threats or expressions of ill </w:t>
      </w:r>
      <w:r w:rsidRPr="00637033">
        <w:rPr>
          <w:rFonts w:ascii="Book Antiqua" w:eastAsiaTheme="minorHAnsi" w:hAnsi="Book Antiqua"/>
          <w:color w:val="000000"/>
          <w:sz w:val="24"/>
          <w:szCs w:val="24"/>
          <w:lang w:val="en-GB"/>
        </w:rPr>
        <w:t>Will by the accused</w:t>
      </w:r>
    </w:p>
    <w:p w:rsidR="00923FB9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 2:</w:t>
      </w:r>
    </w:p>
    <w:p w:rsidR="007A5345" w:rsidRPr="007A5345" w:rsidRDefault="007A5345" w:rsidP="007A5345">
      <w:pPr>
        <w:autoSpaceDE w:val="0"/>
        <w:autoSpaceDN w:val="0"/>
        <w:adjustRightInd w:val="0"/>
        <w:rPr>
          <w:rFonts w:ascii="Book Antiqua" w:eastAsiaTheme="minorHAnsi" w:hAnsi="Book Antiqua"/>
          <w:sz w:val="24"/>
          <w:szCs w:val="24"/>
          <w:lang w:val="en-GB"/>
        </w:rPr>
      </w:pPr>
      <w:r w:rsidRPr="007A5345">
        <w:rPr>
          <w:rFonts w:ascii="Book Antiqua" w:eastAsiaTheme="minorHAnsi" w:hAnsi="Book Antiqua"/>
          <w:sz w:val="24"/>
          <w:szCs w:val="24"/>
          <w:lang w:val="en-GB"/>
        </w:rPr>
        <w:t>What you mean by Opin</w:t>
      </w:r>
      <w:r>
        <w:rPr>
          <w:rFonts w:ascii="Book Antiqua" w:eastAsiaTheme="minorHAnsi" w:hAnsi="Book Antiqua"/>
          <w:sz w:val="24"/>
          <w:szCs w:val="24"/>
          <w:lang w:val="en-GB"/>
        </w:rPr>
        <w:t xml:space="preserve">ion Testimony. Also explain the </w:t>
      </w:r>
      <w:r w:rsidRPr="007A5345">
        <w:rPr>
          <w:rFonts w:ascii="Book Antiqua" w:eastAsiaTheme="minorHAnsi" w:hAnsi="Book Antiqua"/>
          <w:sz w:val="24"/>
          <w:szCs w:val="24"/>
          <w:lang w:val="en-GB"/>
        </w:rPr>
        <w:t>Exceptions to the opinion Rule.</w:t>
      </w:r>
    </w:p>
    <w:p w:rsidR="007A5345" w:rsidRDefault="00637033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Opinion Testimony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en-GB"/>
        </w:rPr>
      </w:pPr>
      <w:r>
        <w:rPr>
          <w:rFonts w:eastAsiaTheme="minorHAnsi"/>
          <w:color w:val="000000"/>
          <w:sz w:val="22"/>
          <w:szCs w:val="22"/>
          <w:lang w:val="en-GB"/>
        </w:rPr>
        <w:t>Generally, lay (i.e., non-expert) witnesses are only allowed to testify about what they have actually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en-GB"/>
        </w:rPr>
      </w:pPr>
      <w:r>
        <w:rPr>
          <w:rFonts w:eastAsiaTheme="minorHAnsi"/>
          <w:color w:val="000000"/>
          <w:sz w:val="22"/>
          <w:szCs w:val="22"/>
          <w:lang w:val="en-GB"/>
        </w:rPr>
        <w:t>experienced firsthand, and their factual observations. Witnesses provide a report on what they know, and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en-GB"/>
        </w:rPr>
      </w:pPr>
      <w:r>
        <w:rPr>
          <w:rFonts w:eastAsiaTheme="minorHAnsi"/>
          <w:color w:val="000000"/>
          <w:sz w:val="22"/>
          <w:szCs w:val="22"/>
          <w:lang w:val="en-GB"/>
        </w:rPr>
        <w:t>keep their opinions and conclusions to themselves.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Exceptions to the Opinion Rule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4"/>
          <w:szCs w:val="24"/>
          <w:lang w:val="en-GB"/>
        </w:rPr>
      </w:pPr>
      <w:r>
        <w:rPr>
          <w:rFonts w:eastAsiaTheme="minorHAnsi"/>
          <w:b/>
          <w:bCs/>
          <w:color w:val="000000"/>
          <w:sz w:val="24"/>
          <w:szCs w:val="24"/>
          <w:lang w:val="en-GB"/>
        </w:rPr>
        <w:t>NON; EXPERT WITNESSES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Despite the general rule, there are ways to get a non-expert witness's opinion into the record. For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example, an employee at a securities f1rtn blows the whistle on his superiors for a high- level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stock fraud. Defense suggests the investigation was an invasion of privacy, Prosecutors are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justifying their secret eight month investigation on the basis of the whistleblower's tip,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prosecution will enter the whistler's "opinion" and his suspicions of fraud to show that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government was justified in conducting its investigation. In this case, the opinion is admissible;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however, the reason it is allowed in is not to show that management is guilty, but to show what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prompted the investigation.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Opinions are admissible if they pass a three-part test: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Does the witness have direct personal knowledge of the facts to which the opinion pertains?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Is the opinion of the common, everyday sort, i.e." does not involve specialized knowledge or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tests?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Is the opinion NOT part of a level judgment, reserved for the jury or judge to decide?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Opinions from ordinary witnesses must be based on personal experience and have some bearing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 xml:space="preserve">on the </w:t>
      </w:r>
      <w:r>
        <w:rPr>
          <w:rFonts w:eastAsiaTheme="minorHAnsi"/>
          <w:i/>
          <w:iCs/>
          <w:color w:val="000000"/>
          <w:sz w:val="24"/>
          <w:szCs w:val="24"/>
          <w:lang w:val="en-GB"/>
        </w:rPr>
        <w:t xml:space="preserve">facts </w:t>
      </w:r>
      <w:r>
        <w:rPr>
          <w:rFonts w:eastAsiaTheme="minorHAnsi"/>
          <w:color w:val="000000"/>
          <w:sz w:val="24"/>
          <w:szCs w:val="24"/>
          <w:lang w:val="en-GB"/>
        </w:rPr>
        <w:t xml:space="preserve">(as opposed to the </w:t>
      </w:r>
      <w:r>
        <w:rPr>
          <w:rFonts w:eastAsiaTheme="minorHAnsi"/>
          <w:i/>
          <w:iCs/>
          <w:color w:val="000000"/>
          <w:sz w:val="24"/>
          <w:szCs w:val="24"/>
          <w:lang w:val="en-GB"/>
        </w:rPr>
        <w:t xml:space="preserve">judgment </w:t>
      </w:r>
      <w:r>
        <w:rPr>
          <w:rFonts w:eastAsiaTheme="minorHAnsi"/>
          <w:color w:val="000000"/>
          <w:sz w:val="24"/>
          <w:szCs w:val="24"/>
          <w:lang w:val="en-GB"/>
        </w:rPr>
        <w:t>of the case. This distinction is further refined in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situations involving hearsay and personal judgment, discussed below. Expert witnesses are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exempt from the opinion rule, since experts are hired to render a professional opinion.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EXPERT WITNESSES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Expert witnesses are allowed to give opinion testimony because they possess education, training,</w:t>
      </w:r>
    </w:p>
    <w:p w:rsidR="00637033" w:rsidRDefault="00637033" w:rsidP="00637033">
      <w:pPr>
        <w:spacing w:after="120"/>
        <w:ind w:right="-563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skill, or experience in drawing conclusions from certain types of data or information that lay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witnesses do not possess. However, expert testimony may be excluded if it embraces a legal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conclusion. Therefore, expert opinions addressing or innocence will likely be excluded in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criminal cases.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Exhibits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i/>
          <w:iCs/>
          <w:color w:val="000000"/>
          <w:sz w:val="24"/>
          <w:szCs w:val="24"/>
          <w:lang w:val="en-GB"/>
        </w:rPr>
        <w:t xml:space="preserve">Exhibits </w:t>
      </w:r>
      <w:r>
        <w:rPr>
          <w:rFonts w:eastAsiaTheme="minorHAnsi"/>
          <w:color w:val="000000"/>
          <w:sz w:val="24"/>
          <w:szCs w:val="24"/>
          <w:lang w:val="en-GB"/>
        </w:rPr>
        <w:t>are the tangible objects presented as evidence. Therefore, both real evidence and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demonstrative evidence are entered into the record as exhibits. This includes documents like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lastRenderedPageBreak/>
        <w:t>contracts, letters, and receipts; plus photographs, X-rays, baseball bats, knives, fountain pens. In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short, anything that is not testimony is an exhibit Testimony is what people say. Exhibits are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"props."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Demonstrative Exhibits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i/>
          <w:iCs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 xml:space="preserve">An exhibit used for purely "illustrative purposes" is a type of </w:t>
      </w:r>
      <w:r>
        <w:rPr>
          <w:rFonts w:eastAsiaTheme="minorHAnsi"/>
          <w:i/>
          <w:iCs/>
          <w:color w:val="000000"/>
          <w:sz w:val="24"/>
          <w:szCs w:val="24"/>
          <w:lang w:val="en-GB"/>
        </w:rPr>
        <w:t>demonstrative evidence.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Demonstrative evidence includes charts, and summaries that help to simplify complicated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evidence for the jury. Such evidence is admissible if the court decides that it presents a fair and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balanced summary or picture of the evidence and is not unduly prejudicial.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In complex fraud cases, such evidence is extremely useful, but care should be taken to keep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charts and exhibits simple. The evidence that is summarized must be made available to the other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party, and the court may order that the underling document may be produced to the court.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Authenticating Typical Exhibits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At the most basic; level, evidence must be established as reliable or authentic. Thus, evidence,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other than testimonial evidence, must be properly authenticated; that is, the party offering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document must produce some evidence to show it is, in fact, what the party says it is. If a piece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of real evidence cannot be authenticated, the evidence Will not be admitted, even if it is plainly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relevant.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Similar to the authentication requirement for evidence, there is a sinlilarsort of "credibility test'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for witnesses. If testimony is to become admissible evidence, the witness must demonstrate that</w:t>
      </w:r>
    </w:p>
    <w:p w:rsidR="00637033" w:rsidRDefault="00637033" w:rsidP="00637033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eastAsiaTheme="minorHAnsi"/>
          <w:color w:val="000000"/>
          <w:sz w:val="24"/>
          <w:szCs w:val="24"/>
          <w:lang w:val="en-GB"/>
        </w:rPr>
        <w:t>the knowledge being communicated is believable and made by personal experience.</w:t>
      </w:r>
    </w:p>
    <w:p w:rsidR="00923FB9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 3:</w:t>
      </w:r>
    </w:p>
    <w:p w:rsidR="007A5345" w:rsidRPr="007A5345" w:rsidRDefault="007A5345" w:rsidP="007A5345">
      <w:pPr>
        <w:autoSpaceDE w:val="0"/>
        <w:autoSpaceDN w:val="0"/>
        <w:adjustRightInd w:val="0"/>
        <w:rPr>
          <w:rFonts w:ascii="Book Antiqua" w:eastAsiaTheme="minorHAnsi" w:hAnsi="Book Antiqua"/>
          <w:sz w:val="24"/>
          <w:szCs w:val="24"/>
          <w:lang w:val="en-GB"/>
        </w:rPr>
      </w:pPr>
      <w:r w:rsidRPr="007A5345">
        <w:rPr>
          <w:rFonts w:ascii="Book Antiqua" w:eastAsiaTheme="minorHAnsi" w:hAnsi="Book Antiqua"/>
          <w:sz w:val="24"/>
          <w:szCs w:val="24"/>
          <w:lang w:val="en-GB"/>
        </w:rPr>
        <w:t>Hearsay has many exceptions</w:t>
      </w:r>
      <w:r>
        <w:rPr>
          <w:rFonts w:ascii="Book Antiqua" w:eastAsiaTheme="minorHAnsi" w:hAnsi="Book Antiqua"/>
          <w:sz w:val="24"/>
          <w:szCs w:val="24"/>
          <w:lang w:val="en-GB"/>
        </w:rPr>
        <w:t xml:space="preserve">. Explain the exceptions to the </w:t>
      </w:r>
      <w:r w:rsidRPr="007A5345">
        <w:rPr>
          <w:rFonts w:ascii="Book Antiqua" w:eastAsiaTheme="minorHAnsi" w:hAnsi="Book Antiqua"/>
          <w:sz w:val="24"/>
          <w:szCs w:val="24"/>
          <w:lang w:val="en-GB"/>
        </w:rPr>
        <w:t>Hearsay Rule.</w:t>
      </w:r>
    </w:p>
    <w:p w:rsidR="007A5345" w:rsidRDefault="00637033" w:rsidP="007A5345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Hearsay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Hearsay as "a statement, other than one made ...at the trial or hearing, offered in evidence to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prove the truth of the matter asserted." Basically, hearsay involves the following elements: .A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statement. : This includes anything intended to be an assertion; statements can be oral, Written,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or nonverbal conduct, such as nodding ahead.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That is made outside the court's supervision. This includes statements made at trial or during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deposition is not hearsay because they are made during court proceedings, but a statement made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at work or at a crime scene is outside the court's supervision and could be hearsay if the other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elements are also present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That is offered to prove the truth of the matter asserted. A party offers a statement to prove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truth of the 'matter asserted lf the party is trying to prove that the assertion made by the declarant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(the person that made the out of court statement) is true.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This sets apart virtually anything said outside the courtroom, or outside an officially designated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function of the court like a deposition. Excluding hearsay on one level means witnesses cannot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say, "He said she said." Each person testifies to his or her own experience. This is designed to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protect the credibility and condition of testimony and to preserve the right to cross-examine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witnesses by each side.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Each witness the trial will be questioned about personal, firsthand encounters. Unless their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statements satisfy one of the exceptions discussed below , witnesses will speak only about things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they have experienced themselves. If possible, evidence should 'be presented in the courtroom so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that the jury can determine the weight to give each piece of evidence.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However, the hearsay rule is full of exceptions-ways to get information into the record, even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though it is technically hearsay-which accounts for the rule's infamy in courtroom dramas and in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lastRenderedPageBreak/>
        <w:t>real courtrooms. A basic distinction lies with the nature of the statement under consideration.</w:t>
      </w:r>
    </w:p>
    <w:p w:rsidR="00637033" w:rsidRDefault="00637033" w:rsidP="00637033">
      <w:pPr>
        <w:spacing w:after="120"/>
        <w:ind w:right="-563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 law is specifically designed to exclude statements which are offered "to prove the truth of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 matter asserted" in the statement.1herefore, any hearsay statement offered to direcdy proves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 charge is barred, Simply put, a conviction cannot rest on a "she-said/he-said" (hearsay)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recollection.</w:t>
      </w:r>
    </w:p>
    <w:p w:rsidR="00637033" w:rsidRDefault="00637033" w:rsidP="00637033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 xml:space="preserve">Exceptions </w:t>
      </w:r>
      <w:r>
        <w:rPr>
          <w:rFonts w:ascii="Cambria,Bold" w:eastAsiaTheme="minorHAnsi" w:hAnsi="Cambria,Bold" w:cs="Cambria,Bold"/>
          <w:b/>
          <w:bCs/>
          <w:color w:val="4F82BE"/>
          <w:sz w:val="24"/>
          <w:szCs w:val="24"/>
          <w:lang w:val="en-GB"/>
        </w:rPr>
        <w:t xml:space="preserve">to </w:t>
      </w: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the Hearsay Rule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4"/>
          <w:szCs w:val="24"/>
          <w:lang w:val="en-GB"/>
        </w:rPr>
      </w:pPr>
      <w:r>
        <w:rPr>
          <w:rFonts w:eastAsiaTheme="minorHAnsi"/>
          <w:b/>
          <w:bCs/>
          <w:color w:val="000000"/>
          <w:sz w:val="24"/>
          <w:szCs w:val="24"/>
          <w:lang w:val="en-GB"/>
        </w:rPr>
        <w:t>The Truth of the Statement Is Not at Issue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 hearsay rule only applies if the statement is being offered to prove the trUth of the matter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contained in the statement. Therefore, if the statement is offered for some other purpose, it,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technically, is not hearsay. Any out-of-court statement can be admitted if it {1) is relevant to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some aspect of the proceedings, and (2) is not offered for the truth of its contents. Most often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such statements are used to show a person's knowledge or state of mind at a particular time. For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instance, a witness will be allowed to testify that she heard the defendant say, "I can't stand thiscompany.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They owe me big time," The statement cannot be used to prove that the defendant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actually stole from the company; however, it can be admitted to show that the defendant's state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of mind-that he was disgruntled.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4"/>
          <w:szCs w:val="24"/>
          <w:lang w:val="en-GB"/>
        </w:rPr>
      </w:pPr>
      <w:r>
        <w:rPr>
          <w:rFonts w:eastAsiaTheme="minorHAnsi"/>
          <w:b/>
          <w:bCs/>
          <w:color w:val="000000"/>
          <w:sz w:val="24"/>
          <w:szCs w:val="24"/>
          <w:lang w:val="en-GB"/>
        </w:rPr>
        <w:t>Admissions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Anything spoken or written by a party to a lawsuit can be entered into the record, provided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statement can be corroborated and is relevant. Each side can use its adversary's out-of- court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statements as evidence.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For example, during your investigation of the case prior to trial, you interviewed the defendant.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During the interview, he tells you that he falsified the invoices. Later he denies making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statement. If you take the stand and tell the jury that the defendant told you he falsified invoices,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technically that statement is hearsay. However, since it is an admission, it will be admitted under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this exception to the rule.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An admission is not necessarily an outright confession. A witness may testify that a bank officer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told her, "I have ways of getting loans approved that no one else knows about." The statement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alone does not prove loan fraud against the officer, but it does establish, by his own admission,</w:t>
      </w:r>
    </w:p>
    <w:p w:rsidR="00637033" w:rsidRDefault="00637033" w:rsidP="00637033">
      <w:pPr>
        <w:spacing w:after="120"/>
        <w:ind w:right="-563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his stated intent to subvert the security controls of the institution.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 cases involving corporations, large groups, or government agencies, any statement made by a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member of the organisation is potentially an admission.. The person who made the statement has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to be directly authorized to speak for the organisation, or perform a job related to the issue under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discussion.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For example, an agent employed by Jefferson Realtors who says, "You've been defrauded here"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to an aggrieved client has made an admission on behalf of the company. A janitor at Jefferson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Realtors, however, cannot make the same admission because janitorial duties are not related to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formation of contracts, and chances are the janitor is not authorized to make corporate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declarations. On the other hand, an agent makes contracts on the company's behalf, so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statement is an admission even if the agent is not the official spokesperson for Jefferson's legal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affairs.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Statement against Interest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 statement against interest is a special form of admission in which a prior statement is at odds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with the declarant current claim. In prosecuting a tax evasion charge, for example, prosecutors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may present a financial statement used by the defendant to obtain a: loan; this is a statement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against interest because the document declares a higher net worth than he now claims to have.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lastRenderedPageBreak/>
        <w:t>Business and Government Records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We commonly think of invoices, receipts and official documents as the final legal word.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Technically speaking, though, business and government records are hearsay; they are prepared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outside the courtroom. A special exception for these materials makes them admissible if they are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provided with a legal foundation.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admissibility of records rests on two criteria: whether they were prepared during regularly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conducted business activity and whether they are verifiably trustworthy. Materials prepared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specifically for trial are not admissible as business records. Anything that casts doubt on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veracity of these documents can bar them. In situations where the charge involves altered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documents, the materials are admitted to prove the charge of alteration not for their truth-valueso</w:t>
      </w:r>
    </w:p>
    <w:p w:rsidR="00637033" w:rsidRDefault="00637033" w:rsidP="00637033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hearsay rule does not apply.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Absence of an Entry in Business Records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Evidence that a matter is not included in the memoranda or reports kept in the regular course of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business may be admissible to prove that a certain event did not occur, if the matter was one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about which a memorandum or report regularly was made and preserved, unless the source of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information or the circumstances indicate a lack of trustworthiness.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Recorded Recollections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 memorandum or record about a matter concerning which the wittiness once had knowledge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but now has forgotten, and that was made or adopted by the witness when the matter was fresh in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memory, and is shown to be accurate, may be admissible. Such memoranda or records also may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be shown to a witness who has temporarily forgotten the events in order to refresh the wittiness'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recollection and allow the testimony to be more complete or accurate.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Former Testimony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Testimony given by the declarant at another hearing is admissible if the party against whom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testimony is now offered then had an opportunity and similar motive to examine the witness as in</w:t>
      </w:r>
    </w:p>
    <w:p w:rsidR="00637033" w:rsidRDefault="00637033" w:rsidP="00637033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present trial.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Excited Utterances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There is also an exception for statements relating to a startling event or condition made while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declarant was under the stress of its excitement. Unlike statements of present sense in1pressions,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excited utterances require an occurrence that is startling enough to produce excitement. In the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Mr. Whistler scenario, for example, Moore's statements n:light qualify as an excited utterance if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she discovered the bid sheets after months of searching for incriminating evidence and told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Whistler, while jumping up and down in excitement, "I've found the evidence I‘ve been waiting</w:t>
      </w:r>
    </w:p>
    <w:p w:rsidR="00637033" w:rsidRDefault="00637033" w:rsidP="00637033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for a longtime." Here, the successful conclusion of the search was sufficiently exciting.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Other Exceptions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Miscellaneous exceptions to the hearsay rule include things like dying declarations and ancient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documents. For those instances not specified in any rule, there remains the judge's discretion: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anything the judge deems trustworthy for the purposes of its presentation is admissible. This is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cornerstone of the rule. Hearsay is excluded in the first place because it supposedly lacks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trustworthiness; however, other kinds of hearsay that do not fall within any specific hearsay</w:t>
      </w:r>
    </w:p>
    <w:p w:rsidR="00637033" w:rsidRDefault="00637033" w:rsidP="00637033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exceptions may be admissible it they meet the same standards of trustworthiness as required for</w:t>
      </w:r>
    </w:p>
    <w:p w:rsidR="00637033" w:rsidRDefault="00637033" w:rsidP="00637033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listed exceptions.</w:t>
      </w:r>
    </w:p>
    <w:p w:rsidR="00D61C4D" w:rsidRDefault="00D61C4D" w:rsidP="00637033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</w:p>
    <w:p w:rsidR="00D61C4D" w:rsidRDefault="00D61C4D" w:rsidP="00637033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</w:p>
    <w:p w:rsidR="00D61C4D" w:rsidRDefault="00D61C4D" w:rsidP="00637033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DD178D" w:rsidRDefault="00923FB9" w:rsidP="007A5345">
      <w:pPr>
        <w:spacing w:after="120"/>
        <w:ind w:right="-563"/>
        <w:rPr>
          <w:rFonts w:ascii="Book Antiqua" w:hAnsi="Book Antiqua"/>
          <w:sz w:val="24"/>
          <w:szCs w:val="24"/>
          <w:lang w:val="en-GB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lastRenderedPageBreak/>
        <w:t>Question 4:</w:t>
      </w:r>
      <w:r w:rsidR="007A5345" w:rsidRPr="000F0F51">
        <w:rPr>
          <w:rFonts w:ascii="Book Antiqua" w:hAnsi="Book Antiqua"/>
          <w:sz w:val="24"/>
          <w:szCs w:val="24"/>
          <w:lang w:val="en-GB"/>
        </w:rPr>
        <w:t xml:space="preserve"> </w:t>
      </w:r>
    </w:p>
    <w:p w:rsidR="007A5345" w:rsidRPr="007A5345" w:rsidRDefault="007A5345" w:rsidP="007A5345">
      <w:pPr>
        <w:autoSpaceDE w:val="0"/>
        <w:autoSpaceDN w:val="0"/>
        <w:adjustRightInd w:val="0"/>
        <w:rPr>
          <w:rFonts w:ascii="Book Antiqua" w:eastAsiaTheme="minorHAnsi" w:hAnsi="Book Antiqua"/>
          <w:sz w:val="24"/>
          <w:szCs w:val="24"/>
          <w:lang w:val="en-GB"/>
        </w:rPr>
      </w:pPr>
      <w:r w:rsidRPr="007A5345">
        <w:rPr>
          <w:rFonts w:ascii="Book Antiqua" w:eastAsiaTheme="minorHAnsi" w:hAnsi="Book Antiqua"/>
          <w:sz w:val="24"/>
          <w:szCs w:val="24"/>
          <w:lang w:val="en-GB"/>
        </w:rPr>
        <w:t xml:space="preserve">Interview is considered more </w:t>
      </w:r>
      <w:r>
        <w:rPr>
          <w:rFonts w:ascii="Book Antiqua" w:eastAsiaTheme="minorHAnsi" w:hAnsi="Book Antiqua"/>
          <w:sz w:val="24"/>
          <w:szCs w:val="24"/>
          <w:lang w:val="en-GB"/>
        </w:rPr>
        <w:t xml:space="preserve">effective in investigation. How </w:t>
      </w:r>
      <w:r w:rsidRPr="007A5345">
        <w:rPr>
          <w:rFonts w:ascii="Book Antiqua" w:eastAsiaTheme="minorHAnsi" w:hAnsi="Book Antiqua"/>
          <w:sz w:val="24"/>
          <w:szCs w:val="24"/>
          <w:lang w:val="en-GB"/>
        </w:rPr>
        <w:t>interview should be conducted for investiga</w:t>
      </w:r>
      <w:r>
        <w:rPr>
          <w:rFonts w:ascii="Book Antiqua" w:eastAsiaTheme="minorHAnsi" w:hAnsi="Book Antiqua"/>
          <w:sz w:val="24"/>
          <w:szCs w:val="24"/>
          <w:lang w:val="en-GB"/>
        </w:rPr>
        <w:t xml:space="preserve">tion. Which techniques are more </w:t>
      </w:r>
      <w:r w:rsidRPr="007A5345">
        <w:rPr>
          <w:rFonts w:ascii="Book Antiqua" w:eastAsiaTheme="minorHAnsi" w:hAnsi="Book Antiqua"/>
          <w:sz w:val="24"/>
          <w:szCs w:val="24"/>
          <w:lang w:val="en-GB"/>
        </w:rPr>
        <w:t>useful to gather evidence while interviewing?</w:t>
      </w:r>
    </w:p>
    <w:p w:rsidR="007A5345" w:rsidRDefault="00D61C4D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32"/>
          <w:szCs w:val="32"/>
          <w:lang w:val="en-GB"/>
        </w:rPr>
      </w:pPr>
      <w:r>
        <w:rPr>
          <w:rFonts w:eastAsiaTheme="minorHAnsi"/>
          <w:b/>
          <w:bCs/>
          <w:sz w:val="32"/>
          <w:szCs w:val="32"/>
          <w:lang w:val="en-GB"/>
        </w:rPr>
        <w:t>Interviewing Witnesses.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The purpose of the interview is to: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Find out what the witness has experienced.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Establish a preliminary direction for the investigation.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Complement other phases of the investigation.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Interviewing a witness is one of the most challenging tasks of an investigator. Skilled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interviewing is an indispensable investigative tool. This process is not as simple as asking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witnesses to relate everything they know about their encounter with an unexplained phenomenon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at o-dark-thirty on the night of such and such. A cornerstone of successful interviewing is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awareness that a typical witness description comprises error-prone perceptions during the event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(unintentional) selective recall thereafter. The professional interview is usually the best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single method of ferreting out the truth of the matter.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Witness statements and physical evidence go hand-in-hand and each may complement or clarify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other. Investigators may not realize the importance of seemingly innocuous testimony for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days or even weeks after it is taken. Therefore, testimony obtained from witnesses should be as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complete and detailed as possible.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Many factors influence, distort and limit information flow. When the investigator understands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practices effective interviewing techniques, the results of each interview can dramatically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increase, in both the quantity and the quality of information obtained. Witnesses come in all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types. Most will be honest and even helpful. Some will lie. Others will not want to become too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involved. People all have differing abilities to remember and articulate what they observed.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You may meet individuals who are obnoxious, neurotic, dull or nervous. They cannot all be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treated the same way. As an interviewer, you must develop personal techniques for maximizing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completeness and reliability of information sought from so many different kinds of people.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When to interview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You must act quickly. To maximize the likelihood of obtaining reliable information, interviews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should be conducted early in your investigation, as close to the event as possible. As time passes,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chronological and inferential confusion increases. The human mind has a tendency to fill gaps in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recollection through logic or filling-in based on their own experiences. The longer witnesses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have to reconsider events, the more they tend to do this. Keep in mind the possibility that their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description of what they saw might change once they have time to reflect and their second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impressions probably will not be as useful as their first.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You always should try to interview a witness at a time when he or she has the fewest competing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time demands. The witness has more important ways to be spending their time. Interview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witnesses at their convenience, not yours.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Prepare for the interview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Without adequate preparation, valuable time is spent in familiarizing oneself with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circumstances and deciding what questions to ask. The result may be a wasted discussion that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omits essential items. A prepared investigator has a game plan to keep the interview on course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explore every possibility. Make a list of topics you want to cover. Write your specific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questions down before the interview, but be prepared to take a different path of questioning, if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necessary.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Generally, some information about the case is available beforehand, either from the witness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directly or from a referring party (newspaper article, police agency). Before embarking on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interview, if at all possible, contact the reporter or police to determine whether anyone else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reported the same event and obtain pertinent impressions of the witness when the initial contact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was made.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Interviews should be conducted by prior appointment when possible. It is rude to just show up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expect the person to give you their time.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Interviewing by telephone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If you are really shy, interviewing by phone offers some advantages over in-person interviewing,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because the person you are interviewing can't see your nervousness. You can make use of notes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to guide you and help you through the questions.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That being said, when interviewing in person, you have the advantage. The person you are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interviewing will find it harder to refuse you in person. Turn on the charm. Project your winning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personality. When interviewing "one-on-one," you will have more time to state your case.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Professional appearance and behavior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first rule of interviewing is punctuality. Never keep any witness waiting.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Be aware of your personal appearance and grooming. If you want people to believe that you are a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professional investigator, consider every detail: dress, demeanor, and manner of speech. Act like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 professional. Be a professional. Think before you speak! Decorum, politeness,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attentiveness are those qualities that seasoned investigators exhibit. Demanding and overbearing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individuals can expect little cooperation.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Be friendly and courteous. Never forget that witnesses are giving you their valuable time.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Your notebook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_____Number the pages of your notebook.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_____Use pen, not pencil.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_____Write legibly.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_____Stroke through a mistake and initial it.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_____Do not rip out or skip pages.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_____Do not destroy notes.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_____Keep your notebook secures.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Interviews are not interrogations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 interview is an informal meeting where the interviewer approaches the witness on equal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terms and encourages their cooperation, allowing them to relate observations without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interruption or intimidation. An interrogation implies questioning on a formal or authoritative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level, such as a lawyer-to-witness situation or a police officer-to-suspect session. Witness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interviews must never have the feel and appearance of being interrogations. If witnesses refuse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cooperate in any way, they must not be harassed.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Separate the witnesses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Independent witness statements can corroborate other evidence in the investigation.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Keep witnesses to the same incident separated while waiting to interview them. Witnesses should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not hear other accounts because they may be influenced by that information and mentally fill in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parts of their observations based on what someone else may have seen or heard. It also may be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helpful to ascertain whether witnesses have spoken with each other about the incident prior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being separated.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While the witnesses are waiting for the interview, keep them busy outlining the sequence of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events or making a sketch of what they saw. Both assignments will help the witnesses remember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important information about the event.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Never confuse your sources of information. Use a new page of notepaper for each new witness.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Don't compare the prior testimony from previous witnesses with what the current witness is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telling you during the interview.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Set up a private interview space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Select an environment that minimizes distractions while maintaining the comfort level of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witness. A comfortable witness provides more information. It might be helpful to designate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someone to keep people from knocking on the door, to answer the phone, and ensure that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physical distractions are minimized. Distractions will interrupt the memory retrieval. In addition,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interviewer can encourage the witness to block out these distractions by closing their eyes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concentrating on the memory. Secure all necessary items and resources prior to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Avoid interviewing the witness in an environment where such distractions are more likely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occur, such as a place of business. This should be determined with the witness to accommodate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their schedule and needs.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Consider using a tape recorder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 order to make sure that you have all the facts, consider recording the interview.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inconspicuous size and simplicity of the micro-recorder is perfect for this purpose.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You must have the permission of the witness to record the interview.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Getting permission is not always easy. One approach to acquiring permission to record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 is do not make a big production out of it. Tell them that recording an interview is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Standard Operating Procedure for investigations nowadays and that it helps things move along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faster and ensures accuracy. It would really save you a lot of trouble by not having to scribble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page after page of handwritten notes.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Once you have their permission to record, state the following items at the beginning of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recording: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_____Your name and your role as investigator.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_____Date, time and location where the interview is taking place.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_____State the witness's name and address and indicate that they have given you permission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record this conversation for the sake of accuracy. "Mrs. Mabel Smith, you are aware that we are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recording this interview and I have your permission, is that correct? A nodding of the head can't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be heard on the tape. Make sure the witness verbally answers this question with a "yes."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_____Indicate the subject matter of the interview.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interviewer should point out that he or she would also be taking brief notes, in case modern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technology fails to do its part. After a few minutes of conversation, the tape recorder should be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rewound and played back to check the quality of the recording. The witness now has an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opportunity to hear himself or herself and hopefully feel reassured that they will not be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misquoted as these machines do their work during the interview.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Interview stage 1: mutual evaluation and building rapport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first stage of an interview can be called mutual evaluation.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Give the witness a chance to relax. A few minutes of small talk will help break the ice and build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rapport. Lean forward to emphasize interest in what they have to say. Maintain eye contact. Ask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them some routine questions for basic information. Get the correct spelling of their name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then refer to the witness by name and listen effectively. You can get the answers to these simple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questions elsewhere, but people enjoy talking about themselves and it shows you want to get all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facts correct.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If you conduct the interview at the home of the witness, survey your surroundings immediately.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People surround themselves with symbolic items of interest or importance in their lives. Look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around to find some common ground or interesting hobby the witness has. Get them to like you.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Show understanding and concern. Establish a bond of trust and become their friend. Offering a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sympathetic, non-judgmental ear to someone who needs to be understood, will often trigger a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flood of information. The interviewer should treat the witness as an individual and not as a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statistic.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Always completely explain who you are and the purpose of your investigation. It usually is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appropriate to take this time to make sure the witness understands the ground rules of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 --- how long it will probably take, its confidentiality, and what its purposes are.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Always respect requests for anonymity.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Witnesses may be more open if only one investigator is present.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If two investigators conduct the interview, be sure only one asks questions at a time.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It is prudent to have a third person in the room if the investigator and witness are of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opposite sexes or if the witness is a child.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Interview stage 2: the narrative overview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investigator needs the witness to report the event in more detail than would be conveyed in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normal conversation. The investigator should explain this need for detail to the witness to ensure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witness is fully aware of how to provide the description.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second stage of the interview is to obtain a recollection of the events in narrative form,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without interrupting to ask for details. Remember that this narrative overview provided by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witness, while not likely to be very complete, will be highly accurate. During this stage, your job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is to listen, not to talk. You should encourage the witness to talk, facilitate communication,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be careful not to influence inadvertently what the witness thinks is important. It is probably a bad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idea to take notes at this stage, since they distract you from listening and may subtly influence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conception of what is important. This phase will provide you with a summary of the event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an outline of issues to pursue in detail later in the interview.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Allow an articulate witness to talk without interruption. This helps the witness relax, bolsters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self-esteem, and facilitates communication. Interrupting the mental images of the witness risks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dilution, contamination or loss of the original mental image or memory forever.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Interview stage 3: detailed chronology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After the witness has completed the narrative overview, you will want to probe more deeply for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details. In order to minimize chronological confusion, you should go back over the events in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chronological order. To do this, you first must identify the point at which the chronology should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begin. In some interviews, the starting point will be obvious. You still must verify that this is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first relevant event, but that will be easy to do by a question such as, "Can you think of anything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that happened before the incident?"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 other situations, determining the chronological starting point may be more difficult. One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inhibitor to communication is perceived irrelevancy. If a witness has rejected earlier events as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irrelevant or inconsequential, that person may not mention them during the overview stage,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will be unlikely to volunteer them if asked whether anything relevant happened earlier. A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witness to a traffic accident may think that the sight of a speeding car is the first relevant event.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If you accept this, you may miss out on crucial events that happened earlier --- the witness may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have heard the sound of brakes, seen a man on the corner who will turn out to be a valuable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eyewitness or overheard the owner of the car say that the brakes were bad the day before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accident.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Once you have obtained an overview of the problem from the witness, and have ascertained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starting point, it is time to probe for details. In most cases, a straight step-by-step chronological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order will maximize the completeness of the information. Taking notes usually is recommended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during this phase, since particular important details, such as the names and addresses of other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witnesses, are difficult to remember accurately. During this stage, you must take control of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tempo and the scope of detail of the interview, preventing the witness from jumping ahead,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probing for details. This is known as topic control.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This is when you use the "funnel" sequence of questions, from broad to directed to narrow.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During this part of the interview, in which you are seeking more detail, two probes are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commonly used: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 request for elaboration may take several forms. First, elaboration might imply a need for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continuing the "story" or finishing the trend of thought. This would include such probes as: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"Then what happened?" or "What happened next?" Second, the elaboration might not imply a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"moving on" with the story, but merely requests the respondent to say more about the topic at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hand. For example: "Tell me more about that." or "What else could you say about that?"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clarification probe not only asks for more information on the topic under discussion, but it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also specifies the kind of additional information that is needed. A request for clarification may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take many specific forms of two general types. First, the interviewer might request a more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detailed sequence of events, beginning at a certain point in the action described in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immediately preceding response. Second, the interviewer might probe for more detailed</w:t>
      </w:r>
    </w:p>
    <w:p w:rsidR="00D61C4D" w:rsidRDefault="00D61C4D" w:rsidP="00D61C4D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eastAsiaTheme="minorHAnsi"/>
          <w:sz w:val="24"/>
          <w:szCs w:val="24"/>
          <w:lang w:val="en-GB"/>
        </w:rPr>
        <w:t>information on some specific aspect, rather than some particular period of time.</w:t>
      </w:r>
    </w:p>
    <w:p w:rsidR="00923FB9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 5:</w:t>
      </w:r>
    </w:p>
    <w:p w:rsidR="007A5345" w:rsidRPr="007A5345" w:rsidRDefault="005A5E46" w:rsidP="00923FB9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>
        <w:rPr>
          <w:rFonts w:ascii="Book Antiqua" w:eastAsiaTheme="minorHAnsi" w:hAnsi="Book Antiqua"/>
          <w:sz w:val="24"/>
          <w:szCs w:val="24"/>
          <w:lang w:val="en-GB"/>
        </w:rPr>
        <w:t xml:space="preserve">Give the </w:t>
      </w:r>
      <w:r w:rsidR="007A5345" w:rsidRPr="007A5345">
        <w:rPr>
          <w:rFonts w:ascii="Book Antiqua" w:eastAsiaTheme="minorHAnsi" w:hAnsi="Book Antiqua"/>
          <w:sz w:val="24"/>
          <w:szCs w:val="24"/>
          <w:lang w:val="en-GB"/>
        </w:rPr>
        <w:t>Checklist for Processing Electronically Stored Evidence for Removal.</w:t>
      </w:r>
    </w:p>
    <w:p w:rsidR="007A5345" w:rsidRDefault="00D61C4D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search for and seizure of technical equipment requires specific procedures that must be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followed by fraud examiners to guarantee the integrity of evidence, and to protect both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organization and the individual fraud examiner from civil litigation. These guidelines are written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to satisfy the evidentiary requirements for criminal prosecution, and each step in the process is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there for a reason. Fraud examiners who deviate from these guidelines should be able to justify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their actions if called into question later.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1. If possible, before executing a search warrant where computer equipment and/or magnetic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storage media is to be seized, try to make sure that someone will be present who is familiar with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computer equipment to assist in the identification of the various components.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 xml:space="preserve">2. It is critical that </w:t>
      </w:r>
      <w:r>
        <w:rPr>
          <w:rFonts w:eastAsiaTheme="minorHAnsi"/>
          <w:i/>
          <w:iCs/>
          <w:sz w:val="24"/>
          <w:szCs w:val="24"/>
          <w:lang w:val="en-GB"/>
        </w:rPr>
        <w:t xml:space="preserve">anyone </w:t>
      </w:r>
      <w:r>
        <w:rPr>
          <w:rFonts w:eastAsiaTheme="minorHAnsi"/>
          <w:sz w:val="24"/>
          <w:szCs w:val="24"/>
          <w:lang w:val="en-GB"/>
        </w:rPr>
        <w:t>not involved in the investigation be kept away from any computer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 xml:space="preserve">equipment, and </w:t>
      </w:r>
      <w:r>
        <w:rPr>
          <w:rFonts w:eastAsiaTheme="minorHAnsi"/>
          <w:b/>
          <w:bCs/>
          <w:sz w:val="24"/>
          <w:szCs w:val="24"/>
          <w:lang w:val="en-GB"/>
        </w:rPr>
        <w:t xml:space="preserve">not be allowed to touch any of the equipment! </w:t>
      </w:r>
      <w:r>
        <w:rPr>
          <w:rFonts w:eastAsiaTheme="minorHAnsi"/>
          <w:sz w:val="24"/>
          <w:szCs w:val="24"/>
          <w:lang w:val="en-GB"/>
        </w:rPr>
        <w:t>This includes any person not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 xml:space="preserve">directly involved in handling the computer and related equipment. It is possible for a suspect </w:t>
      </w:r>
      <w:r>
        <w:rPr>
          <w:rFonts w:eastAsiaTheme="minorHAnsi"/>
          <w:b/>
          <w:bCs/>
          <w:sz w:val="24"/>
          <w:szCs w:val="24"/>
          <w:lang w:val="en-GB"/>
        </w:rPr>
        <w:t>or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 xml:space="preserve">any person </w:t>
      </w:r>
      <w:r>
        <w:rPr>
          <w:rFonts w:eastAsiaTheme="minorHAnsi"/>
          <w:sz w:val="24"/>
          <w:szCs w:val="24"/>
          <w:lang w:val="en-GB"/>
        </w:rPr>
        <w:t>touching only one key of a system keyboard (when a computer is operational)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destroy evidence. Limit the number of personnel responsible for processing computer-related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evidence to maintain the integrity of this evidence.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3. If the person seizing the system has the appropriate training and expertise, it might be useful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observe the video display of the system. Information might be displayed that will be of value in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case. If this occurs, document with a close-up photograph of the video screen. (Take care if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using a camera with a flash that the flash does not reflect back into the camera lens.)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4. If a computer or peripheral is not covered by the respective search warrant, leave it alone until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 supplemental warrant can be obtained.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5. If the computer is to be removed from the location, do not enter anything via the system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keyboard or attempt to read information from the system or any associated magnetic media.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6. Do not move the computer any more than is necessary until it is properly secured. Even then,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extreme care should be taken, as sudden motion could cause the destruction of data or damage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equipment itself.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7. Photograph the overall view of the computer system (wide view). Move the equipment as little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as possible before taking this photograph to indicate how the equipment was originally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positioned. Consider videotaping the confiscation procedure for complete documentation of all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actions performed. However, caution is advised, since the video will capture everything that is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said and done. Speculative statements or levity should be restricted.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8. Document the state of the computer when first observed (was it operational, what was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displayed on the monitor screen, etc.).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9. Depending on the experience of the person seizing the system, it might be advisable to unplug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power from the Central Processing Unit (CPU) before taking any further action. Unplug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power at the wall outlet, if accessible. Even though this action will lose any data in Random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 xml:space="preserve">Access Memory, it might prevent the computer from deleting or changing other data. </w:t>
      </w:r>
      <w:r>
        <w:rPr>
          <w:rFonts w:eastAsiaTheme="minorHAnsi"/>
          <w:b/>
          <w:bCs/>
          <w:sz w:val="24"/>
          <w:szCs w:val="24"/>
          <w:lang w:val="en-GB"/>
        </w:rPr>
        <w:t>NOTE: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This applies to stand alone microcomputers only, and does not include computers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connected to a Local Area Network (LAN).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10. Turn off the power to all other components and/or pieces of peripheral equipment (such as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printers, video display CRTs, or monitors, etc.). Be aware that many peripherals utilize Random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Access Memory, which can contain evidence that will be lost when power is removed.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11. If possible, photograph all cable connections (usually in the rear of the system), before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disconnecting.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 xml:space="preserve">12. Disconnect all components that are attached to an </w:t>
      </w:r>
      <w:r>
        <w:rPr>
          <w:rFonts w:eastAsiaTheme="minorHAnsi"/>
          <w:b/>
          <w:bCs/>
          <w:sz w:val="24"/>
          <w:szCs w:val="24"/>
          <w:lang w:val="en-GB"/>
        </w:rPr>
        <w:t xml:space="preserve">external power supply only </w:t>
      </w:r>
      <w:r>
        <w:rPr>
          <w:rFonts w:eastAsiaTheme="minorHAnsi"/>
          <w:sz w:val="24"/>
          <w:szCs w:val="24"/>
          <w:lang w:val="en-GB"/>
        </w:rPr>
        <w:t>(e.g., from an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electrical wall socket, etc.).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13. Never connect or disconnect any of the cables of the system when the computer is operating.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This could result in physical damage to the system components and/or peripheral equipment.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14. Label all cable connections, including any telephone cables that are connected to the system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so that the system can be reconstructed at a later time for analysis.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15. Again, photograph all cable connections. Before photographing, try to arrange the cable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connector labels in such a way that they will be visible in the photographs.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16. Label each item of equipment that will be confiscated. This includes the CPU, monitor,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printers, etc. Each item that has a removable exterior case should be sealed with a tamperproof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evidence tape (especially the CPU case). This will help to prevent later allegations that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components were removed or altered.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17. Consideration should be given to separate close-up isolation photographs for each item to be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seized. These close-up shots will serve the purpose of providing more specific identification of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seized items, and responding to possible future allegations of physical damage to a seized item.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18. Document the location of all items seized (which room, specific location in the room,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reference to photographs, the person who seized the item, serial numbers, special identification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markings, etc.).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19. Check all floppy disk drives to determine if they contain a floppy disk. If so, remove the disk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from the drive and place it in a disk sleeve. Write-protect the disk immediately. Label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particular disk drive to show which drive the disk came from, and then label a paper bag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indicate that the floppy disk was taken from the labeled drive. Place the disk in the paper bag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seal it.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20. Place a cardboard insert or a ―throwaway‖ disk into the disk drive and secure the drive door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shut to secure the drive heads for transportation. Cardboard inserts are specially made for this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purpose. If none are available, a disk of the particular size that contains no data might be used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(preferably a new, unused disk).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21. Check any other removable storage media drives, remove any storage media they contain,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label the media for identification purposes. (This includes components such as optical drives,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external tape drives, IOMEGA drives, CD-Rom, etc.)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22. If there is any uncertainty as to what a piece of equipment is, do not speculate, just label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equipment with a unique identifying number and secure the item for later analysis. However, be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prepared to justify the seizure of a component that might or might not be covered in the search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warrant.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23. When all components and cables have been labeled and documented, disconnect the cables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from their respective component and secure the cables.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24. If covered in the search warrant, confiscate all related manuals and other documentation,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all magnetic media. Also confiscate any other items that might be evidence in the case and that</w:t>
      </w:r>
    </w:p>
    <w:p w:rsidR="00D61C4D" w:rsidRDefault="00D61C4D" w:rsidP="00D61C4D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eastAsiaTheme="minorHAnsi"/>
          <w:sz w:val="24"/>
          <w:szCs w:val="24"/>
          <w:lang w:val="en-GB"/>
        </w:rPr>
        <w:t>are covered by the terms of the search warrant.</w:t>
      </w:r>
    </w:p>
    <w:p w:rsidR="00923FB9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 6:</w:t>
      </w:r>
    </w:p>
    <w:p w:rsidR="007A5345" w:rsidRPr="007A5345" w:rsidRDefault="007A5345" w:rsidP="007A5345">
      <w:pPr>
        <w:autoSpaceDE w:val="0"/>
        <w:autoSpaceDN w:val="0"/>
        <w:adjustRightInd w:val="0"/>
        <w:rPr>
          <w:rFonts w:ascii="Book Antiqua" w:eastAsiaTheme="minorHAnsi" w:hAnsi="Book Antiqua"/>
          <w:sz w:val="24"/>
          <w:szCs w:val="24"/>
          <w:lang w:val="en-GB"/>
        </w:rPr>
      </w:pPr>
      <w:r w:rsidRPr="007A5345">
        <w:rPr>
          <w:rFonts w:ascii="Book Antiqua" w:eastAsiaTheme="minorHAnsi" w:hAnsi="Book Antiqua"/>
          <w:sz w:val="24"/>
          <w:szCs w:val="24"/>
          <w:lang w:val="en-GB"/>
        </w:rPr>
        <w:t>How to prepare the Company for a F</w:t>
      </w:r>
      <w:r>
        <w:rPr>
          <w:rFonts w:ascii="Book Antiqua" w:eastAsiaTheme="minorHAnsi" w:hAnsi="Book Antiqua"/>
          <w:sz w:val="24"/>
          <w:szCs w:val="24"/>
          <w:lang w:val="en-GB"/>
        </w:rPr>
        <w:t xml:space="preserve">raud Risk Assessment. How Fraud Risk </w:t>
      </w:r>
      <w:r w:rsidRPr="007A5345">
        <w:rPr>
          <w:rFonts w:ascii="Book Antiqua" w:eastAsiaTheme="minorHAnsi" w:hAnsi="Book Antiqua"/>
          <w:sz w:val="24"/>
          <w:szCs w:val="24"/>
          <w:lang w:val="en-GB"/>
        </w:rPr>
        <w:t>Assessment should be conducted?</w:t>
      </w:r>
    </w:p>
    <w:p w:rsidR="007A5345" w:rsidRDefault="00D61C4D" w:rsidP="007A5345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Solution: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Preparing the company for the fraud risk assessment is a critical element to ensuring its success.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culture of the organisation should play a large role in influencing the approach taken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prepare the company for the fraud risk assessment. The goals of the preparation should be to: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Assemble the right team to lead and conduct the fraud risk assessment.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Determine the best techniques to use in conducting the fraud risk assessment.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Obtain the sponsor's agreement on the work to be performed. .Educate the organisation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openly promote the process.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Assemble the Right Team to Lead and Conduct the Fraud Risk Assessment Before conducting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fraud risk assessment, the organisation should build a fraud risk assessment team consisting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of individuals with diverse knowledge, skills, and perspectives that will lead and conduct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fraud risk assessment. The size of the team will depend on the size of the organisation and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methods used to conduct the assessment. The team members might include internal and external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resources, such as: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Accounting and finance personnel who are familiar with the financial reporting processes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internal controls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Nonfinancial business unit and operations personnel who have knowledge of day- to-day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operations, customer and vendor interactions, and issues within the industry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Risk management personnel who can ensure that the fraud risk assessment process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integrates with the organization‘s enterprise risk management program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The general counselor other members of the legal department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Members of any ethics or compliance functions within the organisation .Internal auditors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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External consultants with fraud and risk expertise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Any business leader with direct accountability for the effectiveness of the organization‘s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fraud risk management efforts.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Determine the Best Techniques to Use to Conduct the Fraud Risk Assessment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There are many ways to go about conducting the' fraud risk assessment Picking a method or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combination of methods that are culturally right for the organisation will help to ensure its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success. The assessment team should also consider the best ways to gather rapid, truthful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information from people throughout all levels of the organisation, starting by understanding what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techniques are commonly and effectively used throughout the organisation.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Some examples of methods that can be used to conduct the fraud risk assessment are: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Interviews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Focus groups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Surveys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Anonymous feedback mechanisms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Interviews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Interviews can be an effective way to conduct a candid one-on-one conversation. The usefulness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of interviews as a technique will depend on how willing people in the organisation are to be open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honest in a direct dialogue with the interviewer. The assessor must consider whether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interviews are commonly and effectively used in the organisation to gather and elicit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information. He should also speak with individuals that have previously conducted interviews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with employees to glean lessons learned. For each potential interviewee, the assessor ~should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gauge how likely and willing he would be to be open and honest some people may be good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interview candidates, while others may need to be engaged through a different approach.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Focus Groups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Focus groups enable the assessor to observe the interactions of employees as they discuss a</w:t>
      </w:r>
    </w:p>
    <w:p w:rsidR="00D61C4D" w:rsidRDefault="00D61C4D" w:rsidP="00D61C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question or issue. Some topics may lend themselves to being discussed in an open forum in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which people feel comfortable among their colleague$. Additionally, when discussing tough or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thorny issues in a group, an anonymous, real-time voting tool can be an effective way of opening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up a dialogue amongst the participants.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success of a focus group will be highly dependent on the skill of the facilitator. If focus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groups are used as part of the fraud risk assessment, they should be) and by an experienced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facilitator whom the group will relate to and trust. Getting a group to open up and talk honestly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can be very difficult. An experienced facilitator will be able to read the group and use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techniques, such as group icebreakers, to make the session a success.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Surveys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Surveys can be anonymous or directly attributable to individuals. Sometimes people will share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more openly when they feel protected behind a computer or paper questionnaire. In an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organisation where the culture is not one where people pinup and freely talk, an anonymous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survey can be a great way to get feedback. However, employees can be skeptical about the true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anonymity of a survey, especially-in organizations that use surveys to solicit feedback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anonymously but send follow-up to individual delinquent respondents. If the assessor determines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that an anonymous survey is an appropriate technique to use in the fraud risk assessment, 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should clearly and explicitly explain to employees how anonymity will be maintained.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Anonymous Feedback Mechanisms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 some organizations, anonymous suggestion boxes or similar mechanisms are used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encourage and solicit frequent employee feedback. In these companies, information pertaining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fraud risk assessment can be requested in the same way. Additionally, use of an anonymous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feedback mechanism can also be effective in an environment where people are less likely to be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open and honest through other methods and techniques. 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One approach to effectively using the anonymous feedback technique involves establishing a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question of the day that is prominently displayed above a collection box. An example question is: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"If you thought fraud was occurring in the company would you come forward? Why or why</w:t>
      </w:r>
    </w:p>
    <w:p w:rsidR="00D61C4D" w:rsidRDefault="00D61C4D" w:rsidP="00D61C4D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eastAsiaTheme="minorHAnsi"/>
          <w:sz w:val="24"/>
          <w:szCs w:val="24"/>
          <w:lang w:val="en-GB"/>
        </w:rPr>
        <w:lastRenderedPageBreak/>
        <w:t>not?</w:t>
      </w:r>
    </w:p>
    <w:p w:rsidR="007A5345" w:rsidRDefault="007A5345" w:rsidP="007A5345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>
        <w:rPr>
          <w:rFonts w:ascii="Book Antiqua" w:hAnsi="Book Antiqua" w:cstheme="majorBidi"/>
          <w:b/>
          <w:bCs/>
          <w:sz w:val="24"/>
          <w:szCs w:val="24"/>
        </w:rPr>
        <w:t>Question 7</w:t>
      </w:r>
      <w:r w:rsidRPr="000F0F51">
        <w:rPr>
          <w:rFonts w:ascii="Book Antiqua" w:hAnsi="Book Antiqua" w:cstheme="majorBidi"/>
          <w:b/>
          <w:bCs/>
          <w:sz w:val="24"/>
          <w:szCs w:val="24"/>
        </w:rPr>
        <w:t>:</w:t>
      </w:r>
    </w:p>
    <w:p w:rsidR="00D61C4D" w:rsidRDefault="007A5345" w:rsidP="00D61C4D">
      <w:pPr>
        <w:autoSpaceDE w:val="0"/>
        <w:autoSpaceDN w:val="0"/>
        <w:adjustRightInd w:val="0"/>
        <w:rPr>
          <w:rFonts w:ascii="Book Antiqua" w:eastAsiaTheme="minorHAnsi" w:hAnsi="Book Antiqua" w:cs="Times New Roman,Bold"/>
          <w:sz w:val="24"/>
          <w:szCs w:val="24"/>
          <w:lang w:val="en-GB"/>
        </w:rPr>
      </w:pPr>
      <w:r w:rsidRPr="007A5345">
        <w:rPr>
          <w:rFonts w:ascii="Book Antiqua" w:eastAsiaTheme="minorHAnsi" w:hAnsi="Book Antiqua"/>
          <w:sz w:val="24"/>
          <w:szCs w:val="24"/>
          <w:lang w:val="en-GB"/>
        </w:rPr>
        <w:t xml:space="preserve">ERM is considered now a </w:t>
      </w:r>
      <w:r w:rsidRPr="007A5345">
        <w:rPr>
          <w:rFonts w:ascii="Book Antiqua" w:eastAsiaTheme="minorHAnsi" w:hAnsi="Book Antiqua" w:cs="Times New Roman,Bold"/>
          <w:sz w:val="24"/>
          <w:szCs w:val="24"/>
          <w:lang w:val="en-GB"/>
        </w:rPr>
        <w:t>day’s vit</w:t>
      </w:r>
      <w:r>
        <w:rPr>
          <w:rFonts w:ascii="Book Antiqua" w:eastAsiaTheme="minorHAnsi" w:hAnsi="Book Antiqua" w:cs="Times New Roman,Bold"/>
          <w:sz w:val="24"/>
          <w:szCs w:val="24"/>
          <w:lang w:val="en-GB"/>
        </w:rPr>
        <w:t xml:space="preserve">al framework for managing risk. </w:t>
      </w:r>
      <w:r w:rsidRPr="007A5345">
        <w:rPr>
          <w:rFonts w:ascii="Book Antiqua" w:eastAsiaTheme="minorHAnsi" w:hAnsi="Book Antiqua"/>
          <w:sz w:val="24"/>
          <w:szCs w:val="24"/>
          <w:lang w:val="en-GB"/>
        </w:rPr>
        <w:t>Agree or not.</w:t>
      </w:r>
    </w:p>
    <w:p w:rsidR="00D61C4D" w:rsidRDefault="00D61C4D" w:rsidP="00D61C4D">
      <w:pPr>
        <w:autoSpaceDE w:val="0"/>
        <w:autoSpaceDN w:val="0"/>
        <w:adjustRightInd w:val="0"/>
        <w:rPr>
          <w:rFonts w:ascii="Book Antiqua" w:eastAsiaTheme="minorHAnsi" w:hAnsi="Book Antiqua" w:cs="Times New Roman,Bold"/>
          <w:sz w:val="24"/>
          <w:szCs w:val="24"/>
          <w:lang w:val="en-GB"/>
        </w:rPr>
      </w:pPr>
    </w:p>
    <w:p w:rsidR="00D61C4D" w:rsidRDefault="00D61C4D" w:rsidP="00D61C4D">
      <w:pPr>
        <w:autoSpaceDE w:val="0"/>
        <w:autoSpaceDN w:val="0"/>
        <w:adjustRightInd w:val="0"/>
        <w:rPr>
          <w:rFonts w:ascii="Book Antiqua" w:eastAsiaTheme="minorHAnsi" w:hAnsi="Book Antiqua" w:cs="Times New Roman,Bold"/>
          <w:sz w:val="24"/>
          <w:szCs w:val="24"/>
          <w:lang w:val="en-GB"/>
        </w:rPr>
      </w:pPr>
      <w:r>
        <w:rPr>
          <w:rFonts w:ascii="Book Antiqua" w:eastAsiaTheme="minorHAnsi" w:hAnsi="Book Antiqua" w:cs="Times New Roman,Bold"/>
          <w:sz w:val="24"/>
          <w:szCs w:val="24"/>
          <w:lang w:val="en-GB"/>
        </w:rPr>
        <w:t>Solution: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ENTERPRISE RISK MANAGEMENT (ERM</w:t>
      </w:r>
      <w:r>
        <w:rPr>
          <w:rFonts w:eastAsiaTheme="minorHAnsi"/>
          <w:sz w:val="24"/>
          <w:szCs w:val="24"/>
          <w:lang w:val="en-GB"/>
        </w:rPr>
        <w:t>)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What is Enterprise-wide Risk Management?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People undertake risk management activities to identify, assess, manage, and control all kinds of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events or situations. These can range from single projects or narrowly defined types of risk, e.g.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market risk, to the threats and opportunities facing the organization as a whole. The principles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presented in this paper can be used to guide the involvement of internal auditing in all forms of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risk management but we are particularly interested in enterprise-wide risk management because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this is likely to improve an organization‘s governance processes.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Enterprise-wide risk management (ERM) is a structured</w:t>
      </w:r>
      <w:r>
        <w:rPr>
          <w:rFonts w:eastAsiaTheme="minorHAnsi"/>
          <w:sz w:val="24"/>
          <w:szCs w:val="24"/>
          <w:lang w:val="en-GB"/>
        </w:rPr>
        <w:t>, consistent and continuous process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across the whole organization for identifying, assessing, deciding on responses to and reporting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on opportunities and threats that affect the achievement of its objectives.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Responsibility for ERM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board has overall responsibility for ensuring that risks are managed. In practice, the board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will delegate the operation of the risk management framework to the management team, who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will be responsible for completing the activities below. There may be a separate function that coordinates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project-manages these activities and brings to bear specialist skills and knowledge.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Everyone in the organization plays a role in ensuring successful enterprise-wide risk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management but the primary responsibility for identifying risks and managing them lies with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management.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Benefits of ERM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ERM can make a major contribution towards helping an organization manage the risks to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achieving its objectives. The benefits include: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Greater likelihood of achieving those objectives;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Consolidated reporting of disparate risks at board level;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Improved understanding of the key risks and their wider implications;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Identification and sharing of cross business risks;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Greater management focus on the issues that really matter;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Fewer surprises or crises;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More focus internally on doing the right things in the right way;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Increased likelihood of change initiatives being achieved;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Capability to take on greater risk for greater reward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More informed risk-taking and decision-making.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The activities included in ERM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Articulating and communicating the objectives of the organization;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Determining the risk appetite of the organization;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Establishing an appropriate internal environment, including a risk management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framework;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Identifying potential threats to the achievement of the objectives;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Assessing the risk (i.e. the impact and likelihood of the threat occurring);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Selecting and implementing responses to the risks;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lastRenderedPageBreak/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Undertaking control and other response activities;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Communicating information on risks in a consistent manner at all levels in the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organization;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Centrally monitoring and coordinating the risk management processes and the outcomes,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Providing assurance on the effectiveness with which risks are managed.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Providing assurance on ERM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One of the key requirements of the board or its equivalent is to gain assurance that risk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management processes are working effectively and that key risks are being managed to an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acceptable level.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It is likely that assurance will come from different sources. Of these, assurance from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management is fundamental. This should be complemented by the provision of objective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assurance, for which the internal audit activity is a key source. Other sources include external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auditors and independent specialist reviews. Internal auditors will normally provide assurances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on three areas: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Risk management processes, both their design and how well they are working;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Management of those risks classified as ‗key‘, including the effectiveness of the controls and</w:t>
      </w:r>
    </w:p>
    <w:p w:rsidR="00D61C4D" w:rsidRDefault="00D61C4D" w:rsidP="00D61C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other responses to them; and Reliable and appropriate assessment of risks and reporting of risk</w:t>
      </w:r>
    </w:p>
    <w:p w:rsidR="00D61C4D" w:rsidRPr="00D61C4D" w:rsidRDefault="00D61C4D" w:rsidP="00D61C4D">
      <w:pPr>
        <w:autoSpaceDE w:val="0"/>
        <w:autoSpaceDN w:val="0"/>
        <w:adjustRightInd w:val="0"/>
        <w:rPr>
          <w:rFonts w:ascii="Book Antiqua" w:eastAsiaTheme="minorHAnsi" w:hAnsi="Book Antiqua" w:cs="Times New Roman,Bold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and control status.</w:t>
      </w:r>
      <w:bookmarkStart w:id="0" w:name="_GoBack"/>
      <w:bookmarkEnd w:id="0"/>
    </w:p>
    <w:sectPr w:rsidR="00D61C4D" w:rsidRPr="00D61C4D" w:rsidSect="00DD178D">
      <w:headerReference w:type="default" r:id="rId7"/>
      <w:footerReference w:type="default" r:id="rId8"/>
      <w:pgSz w:w="12240" w:h="15840"/>
      <w:pgMar w:top="1440" w:right="1440" w:bottom="426" w:left="1440" w:header="567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1A3" w:rsidRDefault="00BD61A3" w:rsidP="00030663">
      <w:r>
        <w:separator/>
      </w:r>
    </w:p>
  </w:endnote>
  <w:endnote w:type="continuationSeparator" w:id="0">
    <w:p w:rsidR="00BD61A3" w:rsidRDefault="00BD61A3" w:rsidP="0003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98497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46049" w:rsidRDefault="0054604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1C4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1C4D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6049" w:rsidRDefault="005460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1A3" w:rsidRDefault="00BD61A3" w:rsidP="00030663">
      <w:r>
        <w:separator/>
      </w:r>
    </w:p>
  </w:footnote>
  <w:footnote w:type="continuationSeparator" w:id="0">
    <w:p w:rsidR="00BD61A3" w:rsidRDefault="00BD61A3" w:rsidP="00030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663" w:rsidRPr="00030663" w:rsidRDefault="00030663" w:rsidP="00030663">
    <w:pPr>
      <w:pStyle w:val="Header"/>
      <w:rPr>
        <w:rFonts w:ascii="Berlin Sans FB Demi" w:hAnsi="Berlin Sans FB Demi"/>
      </w:rPr>
    </w:pPr>
    <w:r>
      <w:t xml:space="preserve">                  </w:t>
    </w:r>
    <w:r>
      <w:rPr>
        <w:noProof/>
        <w:lang w:val="en-GB" w:eastAsia="en-GB"/>
      </w:rPr>
      <w:drawing>
        <wp:inline distT="0" distB="0" distL="0" distR="0" wp14:anchorId="638AB9C3" wp14:editId="5C056619">
          <wp:extent cx="352425" cy="407670"/>
          <wp:effectExtent l="0" t="0" r="952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407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Berlin Sans FB Demi" w:hAnsi="Berlin Sans FB Demi"/>
      </w:rPr>
      <w:t xml:space="preserve"> The Institute of Certified Public Accountants of Pakistan (ICPAP)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5BFF"/>
    <w:multiLevelType w:val="hybridMultilevel"/>
    <w:tmpl w:val="F93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37D97"/>
    <w:multiLevelType w:val="hybridMultilevel"/>
    <w:tmpl w:val="D7E63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231AB"/>
    <w:multiLevelType w:val="hybridMultilevel"/>
    <w:tmpl w:val="E30E1C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E13B2"/>
    <w:multiLevelType w:val="hybridMultilevel"/>
    <w:tmpl w:val="7996E0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663"/>
    <w:rsid w:val="000048C5"/>
    <w:rsid w:val="00010F2B"/>
    <w:rsid w:val="00030663"/>
    <w:rsid w:val="00042AE3"/>
    <w:rsid w:val="00076298"/>
    <w:rsid w:val="000F0F51"/>
    <w:rsid w:val="00107AD9"/>
    <w:rsid w:val="001104B3"/>
    <w:rsid w:val="00116487"/>
    <w:rsid w:val="00117613"/>
    <w:rsid w:val="00160580"/>
    <w:rsid w:val="001669B2"/>
    <w:rsid w:val="00180E4A"/>
    <w:rsid w:val="001D47AC"/>
    <w:rsid w:val="00242B09"/>
    <w:rsid w:val="00275C72"/>
    <w:rsid w:val="002D0503"/>
    <w:rsid w:val="00337560"/>
    <w:rsid w:val="00341B6A"/>
    <w:rsid w:val="003D1C92"/>
    <w:rsid w:val="003F0CAC"/>
    <w:rsid w:val="00493195"/>
    <w:rsid w:val="0049348E"/>
    <w:rsid w:val="004E2D3A"/>
    <w:rsid w:val="00546049"/>
    <w:rsid w:val="00554347"/>
    <w:rsid w:val="005A5E46"/>
    <w:rsid w:val="00610E43"/>
    <w:rsid w:val="00637033"/>
    <w:rsid w:val="00643693"/>
    <w:rsid w:val="006903ED"/>
    <w:rsid w:val="006D271D"/>
    <w:rsid w:val="00746390"/>
    <w:rsid w:val="00746BE5"/>
    <w:rsid w:val="007A0B4D"/>
    <w:rsid w:val="007A1B0C"/>
    <w:rsid w:val="007A5345"/>
    <w:rsid w:val="00913CE0"/>
    <w:rsid w:val="00923FB9"/>
    <w:rsid w:val="00932C26"/>
    <w:rsid w:val="00984937"/>
    <w:rsid w:val="00A03DC6"/>
    <w:rsid w:val="00A66C67"/>
    <w:rsid w:val="00A67D6C"/>
    <w:rsid w:val="00AB6756"/>
    <w:rsid w:val="00AC5DE4"/>
    <w:rsid w:val="00AD2A2A"/>
    <w:rsid w:val="00AD7C52"/>
    <w:rsid w:val="00B47DDC"/>
    <w:rsid w:val="00B5036F"/>
    <w:rsid w:val="00B97385"/>
    <w:rsid w:val="00BD61A3"/>
    <w:rsid w:val="00C1073B"/>
    <w:rsid w:val="00C6105A"/>
    <w:rsid w:val="00C65373"/>
    <w:rsid w:val="00C87515"/>
    <w:rsid w:val="00C95B36"/>
    <w:rsid w:val="00CC1918"/>
    <w:rsid w:val="00CC6BB0"/>
    <w:rsid w:val="00D05487"/>
    <w:rsid w:val="00D61C4D"/>
    <w:rsid w:val="00DB000F"/>
    <w:rsid w:val="00DB057B"/>
    <w:rsid w:val="00DD178D"/>
    <w:rsid w:val="00DD345F"/>
    <w:rsid w:val="00E05023"/>
    <w:rsid w:val="00E2698C"/>
    <w:rsid w:val="00E54BF3"/>
    <w:rsid w:val="00E57DCA"/>
    <w:rsid w:val="00E91DD8"/>
    <w:rsid w:val="00EB3451"/>
    <w:rsid w:val="00EB5515"/>
    <w:rsid w:val="00EC1051"/>
    <w:rsid w:val="00EC707F"/>
    <w:rsid w:val="00F31B21"/>
    <w:rsid w:val="00F5470D"/>
    <w:rsid w:val="00F63C53"/>
    <w:rsid w:val="00FF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04E9C8-8DE1-4732-8A69-A6999583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4B3"/>
    <w:pPr>
      <w:keepNext/>
      <w:keepLines/>
      <w:spacing w:before="200" w:line="36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66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663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3756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1104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7236</Words>
  <Characters>41250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2</cp:revision>
  <cp:lastPrinted>2015-11-27T10:50:00Z</cp:lastPrinted>
  <dcterms:created xsi:type="dcterms:W3CDTF">2016-12-29T11:46:00Z</dcterms:created>
  <dcterms:modified xsi:type="dcterms:W3CDTF">2016-12-29T11:46:00Z</dcterms:modified>
</cp:coreProperties>
</file>